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Toc366777827"/>
      <w:bookmarkStart w:id="1" w:name="_Toc368671512"/>
      <w:bookmarkStart w:id="2" w:name="_GoBack"/>
      <w:bookmarkEnd w:id="2"/>
    </w:p>
    <w:p w:rsidR="002B7E4F" w:rsidRPr="002B7E4F" w:rsidRDefault="002B7E4F" w:rsidP="002B7E4F">
      <w:pPr>
        <w:jc w:val="both"/>
        <w:rPr>
          <w:rFonts w:ascii="Arial" w:hAnsi="Arial" w:cs="Arial"/>
          <w:b/>
          <w:sz w:val="22"/>
          <w:szCs w:val="22"/>
          <w:lang w:val="es-MX"/>
        </w:rPr>
      </w:pPr>
      <w:r w:rsidRPr="002B7E4F">
        <w:rPr>
          <w:rFonts w:ascii="Arial" w:hAnsi="Arial" w:cs="Arial"/>
          <w:b/>
          <w:sz w:val="22"/>
          <w:szCs w:val="22"/>
          <w:lang w:val="es-MX"/>
        </w:rPr>
        <w:t>EP</w:t>
      </w:r>
      <w:r w:rsidR="00715976">
        <w:rPr>
          <w:rFonts w:ascii="Arial" w:hAnsi="Arial" w:cs="Arial"/>
          <w:b/>
          <w:sz w:val="22"/>
          <w:szCs w:val="22"/>
          <w:lang w:val="es-MX"/>
        </w:rPr>
        <w:t>.</w:t>
      </w:r>
      <w:r w:rsidRPr="002B7E4F">
        <w:rPr>
          <w:rFonts w:ascii="Arial" w:hAnsi="Arial" w:cs="Arial"/>
          <w:b/>
          <w:sz w:val="22"/>
          <w:szCs w:val="22"/>
          <w:lang w:val="es-MX"/>
        </w:rPr>
        <w:t xml:space="preserve"> 107</w:t>
      </w:r>
      <w:r w:rsidR="00715976">
        <w:rPr>
          <w:rFonts w:ascii="Arial" w:hAnsi="Arial" w:cs="Arial"/>
          <w:b/>
          <w:sz w:val="22"/>
          <w:szCs w:val="22"/>
          <w:lang w:val="es-MX"/>
        </w:rPr>
        <w:t>.-</w:t>
      </w:r>
      <w:r w:rsidRPr="002B7E4F">
        <w:rPr>
          <w:rFonts w:ascii="Arial" w:hAnsi="Arial" w:cs="Arial"/>
          <w:b/>
          <w:sz w:val="22"/>
          <w:szCs w:val="22"/>
          <w:lang w:val="es-MX"/>
        </w:rPr>
        <w:t xml:space="preserve"> SISTEMA DE CABLEADO PARA PLC</w:t>
      </w:r>
    </w:p>
    <w:bookmarkEnd w:id="0"/>
    <w:bookmarkEnd w:id="1"/>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Supervisión de señales. Esta partida engloba todas las señales a recoger del grupo de bombeo, del depósito (sonda de nivel), de los finales de carrera de las válvula, temperatura y acceso a la sala de bombas. Incluye cableado y canalización desde los equipos al sistema PLC asociado al  Sistema de Vigilancia y Control y a los cuadros </w:t>
      </w:r>
      <w:proofErr w:type="gramStart"/>
      <w:r w:rsidRPr="002B7E4F">
        <w:rPr>
          <w:rFonts w:ascii="Arial" w:hAnsi="Arial" w:cs="Arial"/>
          <w:sz w:val="22"/>
          <w:szCs w:val="22"/>
        </w:rPr>
        <w:t>eléctricos</w:t>
      </w:r>
      <w:proofErr w:type="gramEnd"/>
      <w:r w:rsidRPr="002B7E4F">
        <w:rPr>
          <w:rFonts w:ascii="Arial" w:hAnsi="Arial" w:cs="Arial"/>
          <w:sz w:val="22"/>
          <w:szCs w:val="22"/>
        </w:rPr>
        <w:t xml:space="preserve"> de las bombas. Incluye el cableado y el canalizado, el cual se realizará en tubo </w:t>
      </w:r>
      <w:proofErr w:type="spellStart"/>
      <w:r w:rsidRPr="002B7E4F">
        <w:rPr>
          <w:rFonts w:ascii="Arial" w:hAnsi="Arial" w:cs="Arial"/>
          <w:sz w:val="22"/>
          <w:szCs w:val="22"/>
        </w:rPr>
        <w:t>conduit</w:t>
      </w:r>
      <w:proofErr w:type="spellEnd"/>
      <w:r w:rsidRPr="002B7E4F">
        <w:rPr>
          <w:rFonts w:ascii="Arial" w:hAnsi="Arial" w:cs="Arial"/>
          <w:sz w:val="22"/>
          <w:szCs w:val="22"/>
        </w:rPr>
        <w:t xml:space="preserve"> galvanizado pared gruesa y tubo metálico flexible </w:t>
      </w:r>
      <w:proofErr w:type="spellStart"/>
      <w:r w:rsidRPr="002B7E4F">
        <w:rPr>
          <w:rFonts w:ascii="Arial" w:hAnsi="Arial" w:cs="Arial"/>
          <w:sz w:val="22"/>
          <w:szCs w:val="22"/>
        </w:rPr>
        <w:t>liquatite</w:t>
      </w:r>
      <w:proofErr w:type="spellEnd"/>
      <w:r w:rsidRPr="002B7E4F">
        <w:rPr>
          <w:rFonts w:ascii="Arial" w:hAnsi="Arial" w:cs="Arial"/>
          <w:sz w:val="22"/>
          <w:szCs w:val="22"/>
        </w:rPr>
        <w:t>., mano de obra, equipo, herramienta, cortes, retiros, elevaciones, andamios, elementos de fijación, alambre guía, limpieza del área de trabajo y todo lo necesario para su correcta ejecución.</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              </w:t>
      </w:r>
    </w:p>
    <w:p w:rsidR="002B7E4F" w:rsidRPr="002B7E4F" w:rsidRDefault="002B7E4F" w:rsidP="00462F48">
      <w:pPr>
        <w:pStyle w:val="TITULO-3"/>
        <w:numPr>
          <w:ilvl w:val="2"/>
          <w:numId w:val="36"/>
        </w:numPr>
        <w:rPr>
          <w:rFonts w:ascii="Arial" w:hAnsi="Arial" w:cs="Arial"/>
          <w:b/>
          <w:sz w:val="22"/>
          <w:szCs w:val="22"/>
        </w:rPr>
      </w:pPr>
      <w:bookmarkStart w:id="3" w:name="_Toc366687989"/>
      <w:bookmarkStart w:id="4" w:name="_Toc366777828"/>
      <w:bookmarkStart w:id="5" w:name="_Toc368671513"/>
      <w:r w:rsidRPr="002B7E4F">
        <w:rPr>
          <w:rFonts w:ascii="Arial" w:hAnsi="Arial" w:cs="Arial"/>
          <w:b/>
          <w:sz w:val="22"/>
          <w:szCs w:val="22"/>
        </w:rPr>
        <w:t>Características Técnicas</w:t>
      </w:r>
      <w:bookmarkEnd w:id="3"/>
      <w:bookmarkEnd w:id="4"/>
      <w:bookmarkEnd w:id="5"/>
    </w:p>
    <w:p w:rsidR="002B7E4F" w:rsidRPr="002B7E4F" w:rsidRDefault="002B7E4F" w:rsidP="002B7E4F">
      <w:pPr>
        <w:jc w:val="both"/>
        <w:rPr>
          <w:rFonts w:ascii="Arial" w:hAnsi="Arial" w:cs="Arial"/>
          <w:sz w:val="22"/>
          <w:szCs w:val="22"/>
          <w:lang w:eastAsia="ca-ES"/>
        </w:rPr>
      </w:pPr>
      <w:r w:rsidRPr="002B7E4F">
        <w:rPr>
          <w:rFonts w:ascii="Arial" w:hAnsi="Arial" w:cs="Arial"/>
          <w:sz w:val="22"/>
          <w:szCs w:val="22"/>
        </w:rPr>
        <w:tab/>
      </w:r>
    </w:p>
    <w:p w:rsidR="002B7E4F" w:rsidRPr="002B7E4F" w:rsidRDefault="002B7E4F" w:rsidP="00462F48">
      <w:pPr>
        <w:pStyle w:val="TITULO-4"/>
        <w:numPr>
          <w:ilvl w:val="3"/>
          <w:numId w:val="36"/>
        </w:numPr>
        <w:rPr>
          <w:spacing w:val="-1"/>
          <w:sz w:val="22"/>
          <w:szCs w:val="22"/>
        </w:rPr>
      </w:pPr>
      <w:bookmarkStart w:id="6" w:name="_Toc366688002"/>
      <w:bookmarkStart w:id="7" w:name="_Toc366777831"/>
      <w:bookmarkStart w:id="8" w:name="_Toc368671514"/>
      <w:r w:rsidRPr="002B7E4F">
        <w:rPr>
          <w:spacing w:val="-1"/>
          <w:sz w:val="22"/>
          <w:szCs w:val="22"/>
        </w:rPr>
        <w:t>Base de selección.</w:t>
      </w:r>
      <w:bookmarkEnd w:id="6"/>
      <w:bookmarkEnd w:id="7"/>
      <w:bookmarkEnd w:id="8"/>
    </w:p>
    <w:p w:rsidR="002B7E4F" w:rsidRPr="002B7E4F" w:rsidRDefault="002B7E4F" w:rsidP="002B7E4F">
      <w:pPr>
        <w:jc w:val="both"/>
        <w:rPr>
          <w:rFonts w:ascii="Arial" w:hAnsi="Arial" w:cs="Arial"/>
          <w:sz w:val="22"/>
          <w:szCs w:val="22"/>
        </w:rPr>
      </w:pPr>
      <w:r w:rsidRPr="002B7E4F">
        <w:rPr>
          <w:rFonts w:ascii="Arial" w:hAnsi="Arial" w:cs="Arial"/>
          <w:sz w:val="22"/>
          <w:szCs w:val="22"/>
        </w:rPr>
        <w:t>Las características de los equipos seleccionados se han basado en la siguiente tabla y ha servido de guía para la selección de las mismas.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Para el tubo </w:t>
      </w:r>
      <w:proofErr w:type="spellStart"/>
      <w:r w:rsidRPr="002B7E4F">
        <w:rPr>
          <w:rFonts w:ascii="Arial" w:hAnsi="Arial" w:cs="Arial"/>
          <w:sz w:val="22"/>
          <w:szCs w:val="22"/>
        </w:rPr>
        <w:t>conduit</w:t>
      </w:r>
      <w:proofErr w:type="spellEnd"/>
      <w:r w:rsidRPr="002B7E4F">
        <w:rPr>
          <w:rFonts w:ascii="Arial" w:hAnsi="Arial" w:cs="Arial"/>
          <w:sz w:val="22"/>
          <w:szCs w:val="22"/>
        </w:rPr>
        <w:t xml:space="preserve"> pared gruesa tenemos: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drawing>
          <wp:inline distT="0" distB="0" distL="0" distR="0">
            <wp:extent cx="5634990" cy="2891790"/>
            <wp:effectExtent l="19050" t="0" r="3810" b="0"/>
            <wp:docPr id="112" name="Imagen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9" cstate="print"/>
                    <a:srcRect t="6923" r="54648" b="55641"/>
                    <a:stretch>
                      <a:fillRect/>
                    </a:stretch>
                  </pic:blipFill>
                  <pic:spPr bwMode="auto">
                    <a:xfrm>
                      <a:off x="0" y="0"/>
                      <a:ext cx="5634990" cy="289179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Para el tubo flexible tenemos:</w:t>
      </w:r>
    </w:p>
    <w:p w:rsidR="002B7E4F" w:rsidRPr="002B7E4F" w:rsidRDefault="002B7E4F" w:rsidP="002B7E4F">
      <w:pPr>
        <w:jc w:val="both"/>
        <w:rPr>
          <w:rFonts w:ascii="Arial" w:hAnsi="Arial" w:cs="Arial"/>
          <w:sz w:val="22"/>
          <w:szCs w:val="22"/>
        </w:rPr>
      </w:pPr>
      <w:r w:rsidRPr="002B7E4F">
        <w:rPr>
          <w:rFonts w:ascii="Arial" w:hAnsi="Arial" w:cs="Arial"/>
          <w:noProof/>
          <w:sz w:val="22"/>
          <w:szCs w:val="22"/>
          <w:lang w:val="es-MX" w:eastAsia="es-MX"/>
        </w:rPr>
        <w:lastRenderedPageBreak/>
        <w:drawing>
          <wp:inline distT="0" distB="0" distL="0" distR="0">
            <wp:extent cx="5614035" cy="6337300"/>
            <wp:effectExtent l="19050" t="0" r="5715" b="0"/>
            <wp:docPr id="113" name="Imagen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0" cstate="print"/>
                    <a:srcRect/>
                    <a:stretch>
                      <a:fillRect/>
                    </a:stretch>
                  </pic:blipFill>
                  <pic:spPr bwMode="auto">
                    <a:xfrm>
                      <a:off x="0" y="0"/>
                      <a:ext cx="5614035" cy="633730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equipo diferente a seleccionar deberá ser homologado bajo las características técnicas a las contempladas en el proyecto ejecutivo y en base a lo indicado en esta especificación técnica. La homologación contemplará las características de calidad, funcionalidad y  deberá cumplir con las características técnicas y funcionales enmarcadas en el proyecto ejecutivo o en esta especificación técnica.</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6"/>
        </w:numPr>
        <w:rPr>
          <w:spacing w:val="-1"/>
          <w:sz w:val="22"/>
          <w:szCs w:val="22"/>
        </w:rPr>
      </w:pPr>
      <w:bookmarkStart w:id="9" w:name="_Toc366688000"/>
      <w:bookmarkStart w:id="10" w:name="_Toc366777830"/>
      <w:bookmarkStart w:id="11" w:name="_Toc368671515"/>
      <w:r w:rsidRPr="002B7E4F">
        <w:rPr>
          <w:spacing w:val="-1"/>
          <w:sz w:val="22"/>
          <w:szCs w:val="22"/>
        </w:rPr>
        <w:t>Operación y control.</w:t>
      </w:r>
      <w:bookmarkEnd w:id="9"/>
      <w:bookmarkEnd w:id="10"/>
      <w:bookmarkEnd w:id="11"/>
    </w:p>
    <w:p w:rsidR="002B7E4F" w:rsidRPr="002B7E4F" w:rsidRDefault="002B7E4F" w:rsidP="002B7E4F">
      <w:pPr>
        <w:jc w:val="both"/>
        <w:rPr>
          <w:rFonts w:ascii="Arial" w:hAnsi="Arial" w:cs="Arial"/>
          <w:sz w:val="22"/>
          <w:szCs w:val="22"/>
        </w:rPr>
      </w:pPr>
      <w:r w:rsidRPr="002B7E4F">
        <w:rPr>
          <w:rFonts w:ascii="Arial" w:hAnsi="Arial" w:cs="Arial"/>
          <w:sz w:val="22"/>
          <w:szCs w:val="22"/>
        </w:rPr>
        <w:t>La operación y el control de los equipos de bombeo de los sistemas hidroneumáticos deberán ser de manera remota y automática y estará en función de los niveles de agua que contenga la cisterna de almacenamiento de agua potable.</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sistema de bombeo contará con un sistema de accionamiento automático, programado de tal forma que ante una o varios niveles de agua sea capaz de arrancar y parar de forma automática.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Este sistema también tendrá la opción a cambiarse de forma manual para casos de mantenimiento en el sitio de la instalación o bien para pruebas locales o desmontajes.</w:t>
      </w:r>
    </w:p>
    <w:p w:rsidR="002B7E4F" w:rsidRPr="002B7E4F" w:rsidRDefault="002B7E4F" w:rsidP="002B7E4F">
      <w:pPr>
        <w:jc w:val="both"/>
        <w:rPr>
          <w:rFonts w:ascii="Arial" w:hAnsi="Arial" w:cs="Arial"/>
          <w:sz w:val="22"/>
          <w:szCs w:val="22"/>
        </w:rPr>
      </w:pPr>
      <w:r w:rsidRPr="002B7E4F">
        <w:rPr>
          <w:rFonts w:ascii="Arial" w:hAnsi="Arial" w:cs="Arial"/>
          <w:sz w:val="22"/>
          <w:szCs w:val="22"/>
        </w:rPr>
        <w:t>La operación y el control remoto estarán dispuestos para que se mantenga la comunicación de forma remota ya bien desde el centro de control de la línea o bien desde el local jefe de estación.</w:t>
      </w:r>
    </w:p>
    <w:p w:rsidR="002B7E4F" w:rsidRPr="002B7E4F" w:rsidRDefault="002B7E4F" w:rsidP="002B7E4F">
      <w:pPr>
        <w:jc w:val="both"/>
        <w:rPr>
          <w:rFonts w:ascii="Arial" w:hAnsi="Arial" w:cs="Arial"/>
          <w:sz w:val="22"/>
          <w:szCs w:val="22"/>
          <w:lang w:eastAsia="ca-ES"/>
        </w:rPr>
      </w:pP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6"/>
        </w:numPr>
        <w:tabs>
          <w:tab w:val="clear" w:pos="1440"/>
          <w:tab w:val="num" w:pos="851"/>
        </w:tabs>
        <w:ind w:left="851" w:hanging="851"/>
        <w:rPr>
          <w:rFonts w:ascii="Arial" w:hAnsi="Arial" w:cs="Arial"/>
          <w:b/>
          <w:sz w:val="22"/>
          <w:szCs w:val="22"/>
        </w:rPr>
      </w:pPr>
      <w:bookmarkStart w:id="12" w:name="_Toc366688004"/>
      <w:bookmarkStart w:id="13" w:name="_Toc366777832"/>
      <w:bookmarkStart w:id="14" w:name="_Toc368671516"/>
      <w:r w:rsidRPr="002B7E4F">
        <w:rPr>
          <w:rFonts w:ascii="Arial" w:hAnsi="Arial" w:cs="Arial"/>
          <w:b/>
          <w:sz w:val="22"/>
          <w:szCs w:val="22"/>
        </w:rPr>
        <w:t>Ejecución de Obra</w:t>
      </w:r>
      <w:bookmarkEnd w:id="12"/>
      <w:bookmarkEnd w:id="13"/>
      <w:bookmarkEnd w:id="14"/>
    </w:p>
    <w:p w:rsidR="002B7E4F" w:rsidRPr="002B7E4F" w:rsidRDefault="002B7E4F" w:rsidP="00462F48">
      <w:pPr>
        <w:pStyle w:val="TITULO-4"/>
        <w:numPr>
          <w:ilvl w:val="3"/>
          <w:numId w:val="36"/>
        </w:numPr>
        <w:rPr>
          <w:sz w:val="22"/>
          <w:szCs w:val="22"/>
        </w:rPr>
      </w:pPr>
      <w:bookmarkStart w:id="15" w:name="_Toc366688005"/>
      <w:bookmarkStart w:id="16" w:name="_Toc366777833"/>
      <w:bookmarkStart w:id="17" w:name="_Toc368671517"/>
      <w:r w:rsidRPr="002B7E4F">
        <w:rPr>
          <w:sz w:val="22"/>
          <w:szCs w:val="22"/>
        </w:rPr>
        <w:t>Trabajos preliminares</w:t>
      </w:r>
      <w:bookmarkEnd w:id="15"/>
      <w:bookmarkEnd w:id="16"/>
      <w:bookmarkEnd w:id="17"/>
    </w:p>
    <w:p w:rsidR="002B7E4F" w:rsidRPr="002B7E4F" w:rsidRDefault="002B7E4F" w:rsidP="002B7E4F">
      <w:pPr>
        <w:jc w:val="both"/>
        <w:rPr>
          <w:rFonts w:ascii="Arial" w:hAnsi="Arial" w:cs="Arial"/>
          <w:sz w:val="22"/>
          <w:szCs w:val="22"/>
        </w:rPr>
      </w:pPr>
      <w:r w:rsidRPr="002B7E4F">
        <w:rPr>
          <w:rFonts w:ascii="Arial" w:hAnsi="Arial" w:cs="Arial"/>
          <w:sz w:val="22"/>
          <w:szCs w:val="22"/>
        </w:rPr>
        <w:t>Estas actividades comprenden todos aquellos trabajos o actuaciones previas que deberán de desarrollarse, antes de ejecutar los trabajos instalación del sistema de cableado para PLC para los diferentes locales o áreas en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supervisara de manera constante la correcta instalación de los equipos y desde el periodo de fabricación de las mismas. </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6"/>
        </w:numPr>
        <w:rPr>
          <w:sz w:val="22"/>
          <w:szCs w:val="22"/>
        </w:rPr>
      </w:pPr>
      <w:bookmarkStart w:id="18" w:name="_Toc366688006"/>
      <w:bookmarkStart w:id="19" w:name="_Toc366777834"/>
      <w:bookmarkStart w:id="20" w:name="_Toc368671518"/>
      <w:r w:rsidRPr="002B7E4F">
        <w:rPr>
          <w:sz w:val="22"/>
          <w:szCs w:val="22"/>
        </w:rPr>
        <w:t>Almacenaje y transporte.</w:t>
      </w:r>
      <w:bookmarkEnd w:id="18"/>
      <w:bookmarkEnd w:id="19"/>
      <w:bookmarkEnd w:id="20"/>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equipo entre en contacto con humedad o polvo.</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equipos de bombeo.</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adecuadas para que el equipo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
        </w:numPr>
        <w:rPr>
          <w:sz w:val="22"/>
          <w:szCs w:val="22"/>
        </w:rPr>
      </w:pPr>
      <w:bookmarkStart w:id="21" w:name="_Toc366688007"/>
      <w:bookmarkStart w:id="22" w:name="_Toc366777835"/>
      <w:bookmarkStart w:id="23" w:name="_Toc368671519"/>
      <w:r w:rsidRPr="002B7E4F">
        <w:rPr>
          <w:sz w:val="22"/>
          <w:szCs w:val="22"/>
        </w:rPr>
        <w:lastRenderedPageBreak/>
        <w:t>Instalación</w:t>
      </w:r>
      <w:bookmarkEnd w:id="21"/>
      <w:bookmarkEnd w:id="22"/>
      <w:bookmarkEnd w:id="23"/>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 los equipos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suministrador de los equipos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suministrador de los equipos de bombeo,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6"/>
        </w:numPr>
        <w:tabs>
          <w:tab w:val="clear" w:pos="1440"/>
          <w:tab w:val="num" w:pos="851"/>
        </w:tabs>
        <w:ind w:left="851" w:hanging="851"/>
        <w:rPr>
          <w:rFonts w:ascii="Arial" w:hAnsi="Arial" w:cs="Arial"/>
          <w:b/>
          <w:sz w:val="22"/>
          <w:szCs w:val="22"/>
        </w:rPr>
      </w:pPr>
      <w:bookmarkStart w:id="24" w:name="_Toc366688008"/>
      <w:bookmarkStart w:id="25" w:name="_Toc366777836"/>
      <w:bookmarkStart w:id="26" w:name="_Toc368671520"/>
      <w:r w:rsidRPr="002B7E4F">
        <w:rPr>
          <w:rFonts w:ascii="Arial" w:hAnsi="Arial" w:cs="Arial"/>
          <w:b/>
          <w:sz w:val="22"/>
          <w:szCs w:val="22"/>
        </w:rPr>
        <w:t>Medición</w:t>
      </w:r>
      <w:bookmarkEnd w:id="24"/>
      <w:bookmarkEnd w:id="25"/>
      <w:bookmarkEnd w:id="26"/>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 instalación del sistema de cableado para PLC se </w:t>
      </w:r>
      <w:proofErr w:type="gramStart"/>
      <w:r w:rsidRPr="002B7E4F">
        <w:rPr>
          <w:rFonts w:ascii="Arial" w:hAnsi="Arial" w:cs="Arial"/>
          <w:sz w:val="22"/>
          <w:szCs w:val="22"/>
        </w:rPr>
        <w:t>medirán</w:t>
      </w:r>
      <w:proofErr w:type="gramEnd"/>
      <w:r w:rsidRPr="002B7E4F">
        <w:rPr>
          <w:rFonts w:ascii="Arial" w:hAnsi="Arial" w:cs="Arial"/>
          <w:sz w:val="22"/>
          <w:szCs w:val="22"/>
        </w:rPr>
        <w:t xml:space="preserve"> en un solo concepto por suministro de equipos en conjunto con el equipo totalmente instalado, incluyendo accesorios de fijación y montaje, inspecciones, pruebas con carga y sin carga, puesta en marcha y la capacitación del personal operativo. Gestión de licencias, activación y puesta en servicio del equipo. Conexiones de  tableros de control, limpieza del área de trabajo. También se incluirán en el presente concepto todos los arreglos de tuberías y accesorios que permitan el correcto funcionamiento de dichos equipos.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36"/>
        </w:numPr>
        <w:tabs>
          <w:tab w:val="clear" w:pos="1440"/>
          <w:tab w:val="num" w:pos="851"/>
        </w:tabs>
        <w:ind w:left="851" w:hanging="851"/>
        <w:rPr>
          <w:rFonts w:ascii="Arial" w:hAnsi="Arial" w:cs="Arial"/>
          <w:b/>
          <w:sz w:val="22"/>
          <w:szCs w:val="22"/>
        </w:rPr>
      </w:pPr>
      <w:bookmarkStart w:id="27" w:name="_Toc366688009"/>
      <w:bookmarkStart w:id="28" w:name="_Toc366777837"/>
      <w:bookmarkStart w:id="29" w:name="_Toc368671521"/>
      <w:r w:rsidRPr="002B7E4F">
        <w:rPr>
          <w:rFonts w:ascii="Arial" w:hAnsi="Arial" w:cs="Arial"/>
          <w:b/>
          <w:sz w:val="22"/>
          <w:szCs w:val="22"/>
        </w:rPr>
        <w:t>Pruebas y Ensayo</w:t>
      </w:r>
      <w:bookmarkEnd w:id="27"/>
      <w:bookmarkEnd w:id="28"/>
      <w:bookmarkEnd w:id="29"/>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suministrador y aprobado por la DO y bajo los lineamientos que marquen las normativas vigentes y aplicables.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Se harán las pruebas de hermeticidad, con el equipo conectado a los diversos arreglos de tuberías planteados en el proyecto ejecutivo. Dichas pruebas deberán de garantizar la hermeticidad del sistema, y el correcto funcionamiento de cada uno de los dispositivos y accesorios que conforman el sistema.</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de presentar certificados de las pruebas de fábrica realizadas a los equipos y materiales de acuerdo a lo indicado por las normativas aplicables y bajo los estándares internacionales.</w:t>
      </w:r>
    </w:p>
    <w:p w:rsidR="002B7E4F" w:rsidRPr="002B7E4F" w:rsidRDefault="002B7E4F" w:rsidP="002B7E4F">
      <w:pPr>
        <w:jc w:val="both"/>
        <w:rPr>
          <w:rFonts w:ascii="Arial" w:hAnsi="Arial" w:cs="Arial"/>
          <w:sz w:val="22"/>
          <w:szCs w:val="22"/>
        </w:rPr>
      </w:pPr>
      <w:r w:rsidRPr="002B7E4F">
        <w:rPr>
          <w:rFonts w:ascii="Arial" w:hAnsi="Arial" w:cs="Arial"/>
          <w:sz w:val="22"/>
          <w:szCs w:val="22"/>
        </w:rPr>
        <w:t>Las pruebas como mínimo deberán aplicarse en operación normal y emergencia, manteniendo comunicación con el centro de control o bien con el local jefe de estación.</w:t>
      </w:r>
    </w:p>
    <w:p w:rsidR="002B7E4F" w:rsidRPr="002B7E4F" w:rsidRDefault="002B7E4F" w:rsidP="002B7E4F">
      <w:pPr>
        <w:jc w:val="both"/>
        <w:rPr>
          <w:rFonts w:ascii="Arial" w:hAnsi="Arial" w:cs="Arial"/>
          <w:sz w:val="22"/>
          <w:szCs w:val="22"/>
        </w:rPr>
      </w:pPr>
      <w:r w:rsidRPr="002B7E4F">
        <w:rPr>
          <w:rFonts w:ascii="Arial" w:hAnsi="Arial" w:cs="Arial"/>
          <w:sz w:val="22"/>
          <w:szCs w:val="22"/>
        </w:rPr>
        <w:t>Se harán pruebas en la continuidad en los conductores de comunicaciones de acuerdo a la norma correspondiente.</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6"/>
        </w:numPr>
        <w:rPr>
          <w:sz w:val="22"/>
          <w:szCs w:val="22"/>
        </w:rPr>
      </w:pPr>
      <w:bookmarkStart w:id="30" w:name="_Toc366688010"/>
      <w:bookmarkStart w:id="31" w:name="_Toc366777838"/>
      <w:bookmarkStart w:id="32" w:name="_Toc368671522"/>
      <w:r w:rsidRPr="002B7E4F">
        <w:rPr>
          <w:sz w:val="22"/>
          <w:szCs w:val="22"/>
        </w:rPr>
        <w:t>Garantías de calidad</w:t>
      </w:r>
      <w:bookmarkEnd w:id="30"/>
      <w:bookmarkEnd w:id="31"/>
      <w:bookmarkEnd w:id="32"/>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Por lo tanto el suministrador de los equipos,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6"/>
        </w:numPr>
        <w:rPr>
          <w:sz w:val="22"/>
          <w:szCs w:val="22"/>
        </w:rPr>
      </w:pPr>
      <w:bookmarkStart w:id="33" w:name="_Toc366688011"/>
      <w:bookmarkStart w:id="34" w:name="_Toc366777839"/>
      <w:bookmarkStart w:id="35" w:name="_Toc368671523"/>
      <w:r w:rsidRPr="002B7E4F">
        <w:rPr>
          <w:sz w:val="22"/>
          <w:szCs w:val="22"/>
        </w:rPr>
        <w:t>Garantías técnicas</w:t>
      </w:r>
      <w:bookmarkEnd w:id="33"/>
      <w:bookmarkEnd w:id="34"/>
      <w:bookmarkEnd w:id="35"/>
    </w:p>
    <w:p w:rsidR="002B7E4F" w:rsidRPr="002B7E4F" w:rsidRDefault="002B7E4F" w:rsidP="002B7E4F">
      <w:pPr>
        <w:jc w:val="both"/>
        <w:rPr>
          <w:rFonts w:ascii="Arial" w:hAnsi="Arial" w:cs="Arial"/>
          <w:sz w:val="22"/>
          <w:szCs w:val="22"/>
        </w:rPr>
      </w:pPr>
      <w:r w:rsidRPr="002B7E4F">
        <w:rPr>
          <w:rFonts w:ascii="Arial" w:hAnsi="Arial" w:cs="Arial"/>
          <w:sz w:val="22"/>
          <w:szCs w:val="22"/>
        </w:rPr>
        <w:t>El suministrador de los equipos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6"/>
        </w:numPr>
        <w:tabs>
          <w:tab w:val="clear" w:pos="1440"/>
          <w:tab w:val="num" w:pos="851"/>
        </w:tabs>
        <w:ind w:left="851" w:hanging="851"/>
        <w:rPr>
          <w:rFonts w:ascii="Arial" w:hAnsi="Arial" w:cs="Arial"/>
          <w:b/>
          <w:sz w:val="22"/>
          <w:szCs w:val="22"/>
        </w:rPr>
      </w:pPr>
      <w:bookmarkStart w:id="36" w:name="_Toc366688012"/>
      <w:bookmarkStart w:id="37" w:name="_Toc366777840"/>
      <w:bookmarkStart w:id="38" w:name="_Toc368671524"/>
      <w:r w:rsidRPr="002B7E4F">
        <w:rPr>
          <w:rFonts w:ascii="Arial" w:hAnsi="Arial" w:cs="Arial"/>
          <w:b/>
          <w:sz w:val="22"/>
          <w:szCs w:val="22"/>
        </w:rPr>
        <w:t>Base de Pago</w:t>
      </w:r>
      <w:bookmarkEnd w:id="36"/>
      <w:bookmarkEnd w:id="37"/>
      <w:bookmarkEnd w:id="38"/>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pago por unidad de obra terminada se hará al precio unitario fijado en el contrato, entendiéndose que las obras correspondientes a los conceptos allí desarrollados, están completamente terminados y ejecutados conforme a las condiciones que indica el </w:t>
      </w:r>
      <w:r w:rsidRPr="002B7E4F">
        <w:rPr>
          <w:rFonts w:ascii="Arial" w:hAnsi="Arial" w:cs="Arial"/>
          <w:sz w:val="22"/>
          <w:szCs w:val="22"/>
        </w:rPr>
        <w:lastRenderedPageBreak/>
        <w:t>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sectPr w:rsidR="002B7E4F" w:rsidRPr="002B7E4F" w:rsidSect="00990E1E">
      <w:headerReference w:type="default" r:id="rId11"/>
      <w:footerReference w:type="even" r:id="rId12"/>
      <w:footerReference w:type="default" r:id="rId13"/>
      <w:footerReference w:type="first" r:id="rId14"/>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84EDB">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4EDB"/>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7B187-04C7-45A9-9520-B450BD217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1524</Words>
  <Characters>8340</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9845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2014-04-10T22:30:00Z</dcterms:created>
  <dcterms:modified xsi:type="dcterms:W3CDTF">2014-04-10T22:30:00Z</dcterms:modified>
</cp:coreProperties>
</file>